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6264D" w14:textId="77FC25BB" w:rsidR="0009344D" w:rsidRPr="0009344D" w:rsidRDefault="003348A1" w:rsidP="0009344D">
      <w:pPr>
        <w:jc w:val="center"/>
        <w:rPr>
          <w:rFonts w:ascii="Arial" w:hAnsi="Arial" w:cs="Arial"/>
          <w:b/>
          <w:sz w:val="24"/>
          <w:szCs w:val="24"/>
        </w:rPr>
      </w:pPr>
      <w:r>
        <w:rPr>
          <w:rFonts w:ascii="Arial" w:hAnsi="Arial" w:cs="Arial"/>
          <w:b/>
          <w:sz w:val="24"/>
          <w:szCs w:val="24"/>
        </w:rPr>
        <w:t xml:space="preserve">Attachment A: Black Hawk County </w:t>
      </w:r>
      <w:r w:rsidR="0009344D" w:rsidRPr="0009344D">
        <w:rPr>
          <w:rFonts w:ascii="Arial" w:hAnsi="Arial" w:cs="Arial"/>
          <w:b/>
          <w:sz w:val="24"/>
          <w:szCs w:val="24"/>
        </w:rPr>
        <w:t>Minimum Insurance Requirements</w:t>
      </w:r>
    </w:p>
    <w:p w14:paraId="21383E7A" w14:textId="7D843609" w:rsidR="0009344D" w:rsidRPr="0009344D" w:rsidRDefault="0009344D" w:rsidP="0009344D">
      <w:pPr>
        <w:pStyle w:val="NoSpacing"/>
        <w:rPr>
          <w:rFonts w:ascii="Arial" w:hAnsi="Arial" w:cs="Arial"/>
          <w:sz w:val="24"/>
          <w:szCs w:val="24"/>
        </w:rPr>
      </w:pPr>
      <w:r w:rsidRPr="0009344D">
        <w:rPr>
          <w:rFonts w:ascii="Arial" w:hAnsi="Arial" w:cs="Arial"/>
          <w:sz w:val="24"/>
          <w:szCs w:val="24"/>
        </w:rPr>
        <w:t>The followin</w:t>
      </w:r>
      <w:r w:rsidR="0025274C">
        <w:rPr>
          <w:rFonts w:ascii="Arial" w:hAnsi="Arial" w:cs="Arial"/>
          <w:sz w:val="24"/>
          <w:szCs w:val="24"/>
        </w:rPr>
        <w:t>g</w:t>
      </w:r>
      <w:r w:rsidRPr="0009344D">
        <w:rPr>
          <w:rFonts w:ascii="Arial" w:hAnsi="Arial" w:cs="Arial"/>
          <w:sz w:val="24"/>
          <w:szCs w:val="24"/>
        </w:rPr>
        <w:t xml:space="preserve"> section shall be incorporated into specifications for any bid solicited by Black Hawk County and into any contract or agreement </w:t>
      </w:r>
      <w:proofErr w:type="gramStart"/>
      <w:r w:rsidRPr="0009344D">
        <w:rPr>
          <w:rFonts w:ascii="Arial" w:hAnsi="Arial" w:cs="Arial"/>
          <w:sz w:val="24"/>
          <w:szCs w:val="24"/>
        </w:rPr>
        <w:t>entered into</w:t>
      </w:r>
      <w:proofErr w:type="gramEnd"/>
      <w:r w:rsidRPr="0009344D">
        <w:rPr>
          <w:rFonts w:ascii="Arial" w:hAnsi="Arial" w:cs="Arial"/>
          <w:sz w:val="24"/>
          <w:szCs w:val="24"/>
        </w:rPr>
        <w:t xml:space="preserve"> by Black Hawk County.</w:t>
      </w:r>
    </w:p>
    <w:p w14:paraId="05C19462" w14:textId="77777777" w:rsidR="0009344D" w:rsidRPr="0009344D" w:rsidRDefault="0009344D" w:rsidP="0009344D">
      <w:pPr>
        <w:pStyle w:val="NoSpacing"/>
        <w:rPr>
          <w:rFonts w:ascii="Arial" w:hAnsi="Arial" w:cs="Arial"/>
          <w:sz w:val="24"/>
          <w:szCs w:val="24"/>
        </w:rPr>
      </w:pPr>
    </w:p>
    <w:p w14:paraId="6E6620B5" w14:textId="77777777" w:rsidR="0009344D" w:rsidRPr="0009344D" w:rsidRDefault="0009344D" w:rsidP="0009344D">
      <w:pPr>
        <w:pStyle w:val="NoSpacing"/>
        <w:numPr>
          <w:ilvl w:val="0"/>
          <w:numId w:val="1"/>
        </w:numPr>
        <w:rPr>
          <w:rFonts w:ascii="Arial" w:hAnsi="Arial" w:cs="Arial"/>
          <w:sz w:val="24"/>
          <w:szCs w:val="24"/>
        </w:rPr>
      </w:pPr>
      <w:r w:rsidRPr="0009344D">
        <w:rPr>
          <w:rFonts w:ascii="Arial" w:hAnsi="Arial" w:cs="Arial"/>
          <w:sz w:val="24"/>
          <w:szCs w:val="24"/>
        </w:rPr>
        <w:t>At all times during the contract/agreement the outside party will carry and maintain, at the outside party’s expense, the following insurance:</w:t>
      </w:r>
    </w:p>
    <w:p w14:paraId="5F01A6EE" w14:textId="77777777" w:rsidR="0009344D" w:rsidRPr="0009344D" w:rsidRDefault="0009344D" w:rsidP="0009344D">
      <w:pPr>
        <w:pStyle w:val="NoSpacing"/>
        <w:ind w:left="720"/>
        <w:rPr>
          <w:rFonts w:ascii="Arial" w:hAnsi="Arial" w:cs="Arial"/>
          <w:sz w:val="24"/>
          <w:szCs w:val="24"/>
        </w:rPr>
      </w:pPr>
    </w:p>
    <w:p w14:paraId="5D6DD6F2" w14:textId="77777777" w:rsidR="0009344D" w:rsidRPr="0009344D" w:rsidRDefault="0009344D" w:rsidP="0009344D">
      <w:pPr>
        <w:pStyle w:val="NoSpacing"/>
        <w:numPr>
          <w:ilvl w:val="1"/>
          <w:numId w:val="1"/>
        </w:numPr>
        <w:rPr>
          <w:rFonts w:ascii="Arial" w:hAnsi="Arial" w:cs="Arial"/>
          <w:sz w:val="24"/>
          <w:szCs w:val="24"/>
        </w:rPr>
      </w:pPr>
      <w:r w:rsidRPr="0009344D">
        <w:rPr>
          <w:rFonts w:ascii="Arial" w:hAnsi="Arial" w:cs="Arial"/>
          <w:sz w:val="24"/>
          <w:szCs w:val="24"/>
        </w:rPr>
        <w:t>Commercial General Liability Insurance Policy, including but not limited to, insurance for premises construction operations (when applicable), contractual liability, completed operations with respect to liability arising out of the ownership, use, occupancy, or maintenance of the premises and all areas appurtenant, thereto, to afford protection with respect to bodily injury, personal injury, death or property damage of not less than One Million Dollars ($1,000,000) per occurrence combined single limit/Two Million Dollars ($2,000,000) general aggregate.</w:t>
      </w:r>
    </w:p>
    <w:p w14:paraId="59DBDDA0" w14:textId="77777777" w:rsidR="0009344D" w:rsidRPr="0009344D" w:rsidRDefault="0009344D" w:rsidP="0009344D">
      <w:pPr>
        <w:pStyle w:val="NoSpacing"/>
        <w:ind w:left="720"/>
        <w:rPr>
          <w:rFonts w:ascii="Arial" w:hAnsi="Arial" w:cs="Arial"/>
          <w:sz w:val="24"/>
          <w:szCs w:val="24"/>
        </w:rPr>
      </w:pPr>
    </w:p>
    <w:p w14:paraId="62D2298D" w14:textId="50F11CCD" w:rsidR="0009344D" w:rsidRPr="0009344D" w:rsidRDefault="0009344D" w:rsidP="0009344D">
      <w:pPr>
        <w:pStyle w:val="NoSpacing"/>
        <w:numPr>
          <w:ilvl w:val="1"/>
          <w:numId w:val="1"/>
        </w:numPr>
        <w:rPr>
          <w:rFonts w:ascii="Arial" w:hAnsi="Arial" w:cs="Arial"/>
          <w:sz w:val="24"/>
          <w:szCs w:val="24"/>
        </w:rPr>
      </w:pPr>
      <w:r w:rsidRPr="0009344D">
        <w:rPr>
          <w:rFonts w:ascii="Arial" w:hAnsi="Arial" w:cs="Arial"/>
          <w:sz w:val="24"/>
          <w:szCs w:val="24"/>
        </w:rPr>
        <w:t>Umbrella Liability Policy – The County requires liability limits of $</w:t>
      </w:r>
      <w:r w:rsidR="0045095C">
        <w:rPr>
          <w:rFonts w:ascii="Arial" w:hAnsi="Arial" w:cs="Arial"/>
          <w:sz w:val="24"/>
          <w:szCs w:val="24"/>
        </w:rPr>
        <w:t>1,000,000</w:t>
      </w:r>
      <w:r w:rsidRPr="0009344D">
        <w:rPr>
          <w:rFonts w:ascii="Arial" w:hAnsi="Arial" w:cs="Arial"/>
          <w:sz w:val="24"/>
          <w:szCs w:val="24"/>
        </w:rPr>
        <w:t xml:space="preserve"> as determined through collaboration with the County Attorney and the Risk Assessment Manager.</w:t>
      </w:r>
    </w:p>
    <w:p w14:paraId="3390EBAD" w14:textId="77777777" w:rsidR="0009344D" w:rsidRPr="0009344D" w:rsidRDefault="0009344D" w:rsidP="0009344D">
      <w:pPr>
        <w:pStyle w:val="NoSpacing"/>
        <w:ind w:left="720"/>
        <w:rPr>
          <w:rFonts w:ascii="Arial" w:hAnsi="Arial" w:cs="Arial"/>
          <w:sz w:val="24"/>
          <w:szCs w:val="24"/>
        </w:rPr>
      </w:pPr>
    </w:p>
    <w:p w14:paraId="59AE2370" w14:textId="77777777" w:rsidR="0009344D" w:rsidRPr="0009344D" w:rsidRDefault="0009344D" w:rsidP="0009344D">
      <w:pPr>
        <w:pStyle w:val="NoSpacing"/>
        <w:numPr>
          <w:ilvl w:val="1"/>
          <w:numId w:val="1"/>
        </w:numPr>
        <w:rPr>
          <w:rFonts w:ascii="Arial" w:hAnsi="Arial" w:cs="Arial"/>
          <w:sz w:val="24"/>
          <w:szCs w:val="24"/>
        </w:rPr>
      </w:pPr>
      <w:r w:rsidRPr="0009344D">
        <w:rPr>
          <w:rFonts w:ascii="Arial" w:hAnsi="Arial" w:cs="Arial"/>
          <w:sz w:val="24"/>
          <w:szCs w:val="24"/>
        </w:rPr>
        <w:t>Automobile Liability Insurance Policy with limits for each occurrence of not less than One Million Dollars ($1,000,000) Combined Single Limit with respect to bodily injury, property damage or death.</w:t>
      </w:r>
    </w:p>
    <w:p w14:paraId="0892667E" w14:textId="77777777" w:rsidR="0009344D" w:rsidRPr="0009344D" w:rsidRDefault="0009344D" w:rsidP="0009344D">
      <w:pPr>
        <w:pStyle w:val="NoSpacing"/>
        <w:ind w:left="720"/>
        <w:rPr>
          <w:rFonts w:ascii="Arial" w:hAnsi="Arial" w:cs="Arial"/>
          <w:sz w:val="24"/>
          <w:szCs w:val="24"/>
        </w:rPr>
      </w:pPr>
    </w:p>
    <w:p w14:paraId="7372AB57" w14:textId="77777777" w:rsidR="0009344D" w:rsidRPr="0009344D" w:rsidRDefault="0009344D" w:rsidP="0009344D">
      <w:pPr>
        <w:pStyle w:val="NoSpacing"/>
        <w:numPr>
          <w:ilvl w:val="1"/>
          <w:numId w:val="1"/>
        </w:numPr>
        <w:rPr>
          <w:rFonts w:ascii="Arial" w:hAnsi="Arial" w:cs="Arial"/>
          <w:sz w:val="24"/>
          <w:szCs w:val="24"/>
        </w:rPr>
      </w:pPr>
      <w:r w:rsidRPr="0009344D">
        <w:rPr>
          <w:rFonts w:ascii="Arial" w:hAnsi="Arial" w:cs="Arial"/>
          <w:sz w:val="24"/>
          <w:szCs w:val="24"/>
        </w:rPr>
        <w:t>Workers Compensation Insurance Policy or similar insurance in form and amounts required by law.</w:t>
      </w:r>
    </w:p>
    <w:p w14:paraId="112411F5" w14:textId="77777777" w:rsidR="0009344D" w:rsidRPr="0009344D" w:rsidRDefault="0009344D" w:rsidP="0009344D">
      <w:pPr>
        <w:pStyle w:val="NoSpacing"/>
        <w:ind w:left="1440"/>
        <w:rPr>
          <w:rFonts w:ascii="Arial" w:hAnsi="Arial" w:cs="Arial"/>
          <w:sz w:val="24"/>
          <w:szCs w:val="24"/>
        </w:rPr>
      </w:pPr>
    </w:p>
    <w:p w14:paraId="2FD1A677" w14:textId="77777777" w:rsidR="0009344D" w:rsidRPr="0009344D" w:rsidRDefault="0009344D" w:rsidP="0009344D">
      <w:pPr>
        <w:pStyle w:val="NoSpacing"/>
        <w:numPr>
          <w:ilvl w:val="0"/>
          <w:numId w:val="1"/>
        </w:numPr>
        <w:rPr>
          <w:rFonts w:ascii="Arial" w:hAnsi="Arial" w:cs="Arial"/>
          <w:sz w:val="24"/>
          <w:szCs w:val="24"/>
        </w:rPr>
      </w:pPr>
      <w:r w:rsidRPr="0009344D">
        <w:rPr>
          <w:rFonts w:ascii="Arial" w:hAnsi="Arial" w:cs="Arial"/>
          <w:sz w:val="24"/>
          <w:szCs w:val="24"/>
        </w:rPr>
        <w:t>Should the bid require professional service elements (e.g. architectural, engineering, technology, software, health care, legal or professional system designs), the outside party may be required to carry professional errors and omissions coverage with a limit for each claim of not less than One Million Dollars ($1,000,000).</w:t>
      </w:r>
    </w:p>
    <w:p w14:paraId="18EC017E" w14:textId="77777777" w:rsidR="0009344D" w:rsidRPr="0009344D" w:rsidRDefault="0009344D" w:rsidP="0009344D">
      <w:pPr>
        <w:pStyle w:val="NoSpacing"/>
        <w:ind w:left="720"/>
        <w:rPr>
          <w:rFonts w:ascii="Arial" w:hAnsi="Arial" w:cs="Arial"/>
          <w:sz w:val="24"/>
          <w:szCs w:val="24"/>
        </w:rPr>
      </w:pPr>
    </w:p>
    <w:p w14:paraId="31020595" w14:textId="77777777" w:rsidR="0009344D" w:rsidRPr="0009344D" w:rsidRDefault="0009344D" w:rsidP="0009344D">
      <w:pPr>
        <w:pStyle w:val="NoSpacing"/>
        <w:numPr>
          <w:ilvl w:val="0"/>
          <w:numId w:val="1"/>
        </w:numPr>
        <w:rPr>
          <w:rFonts w:ascii="Arial" w:hAnsi="Arial" w:cs="Arial"/>
          <w:sz w:val="24"/>
          <w:szCs w:val="24"/>
        </w:rPr>
      </w:pPr>
      <w:r w:rsidRPr="0009344D">
        <w:rPr>
          <w:rFonts w:ascii="Arial" w:hAnsi="Arial" w:cs="Arial"/>
          <w:sz w:val="24"/>
          <w:szCs w:val="24"/>
        </w:rPr>
        <w:t>Coverage must be maintained by a financially stable carrier with a minimum AM Best rating of A-.  It will be the outside party’s responsibility to provide proof of its carrier’s rating.</w:t>
      </w:r>
    </w:p>
    <w:p w14:paraId="359CF18F" w14:textId="77777777" w:rsidR="0009344D" w:rsidRPr="0009344D" w:rsidRDefault="0009344D" w:rsidP="0009344D">
      <w:pPr>
        <w:pStyle w:val="NoSpacing"/>
        <w:ind w:left="720"/>
        <w:rPr>
          <w:rFonts w:ascii="Arial" w:hAnsi="Arial" w:cs="Arial"/>
          <w:sz w:val="24"/>
          <w:szCs w:val="24"/>
        </w:rPr>
      </w:pPr>
    </w:p>
    <w:p w14:paraId="60EBB8EA" w14:textId="77777777" w:rsidR="0009344D" w:rsidRPr="0009344D" w:rsidRDefault="0009344D" w:rsidP="0009344D">
      <w:pPr>
        <w:pStyle w:val="NoSpacing"/>
        <w:numPr>
          <w:ilvl w:val="0"/>
          <w:numId w:val="1"/>
        </w:numPr>
        <w:rPr>
          <w:rFonts w:ascii="Arial" w:hAnsi="Arial" w:cs="Arial"/>
          <w:sz w:val="24"/>
          <w:szCs w:val="24"/>
        </w:rPr>
      </w:pPr>
      <w:r w:rsidRPr="0009344D">
        <w:rPr>
          <w:rFonts w:ascii="Arial" w:hAnsi="Arial" w:cs="Arial"/>
          <w:sz w:val="24"/>
          <w:szCs w:val="24"/>
        </w:rPr>
        <w:t>The outside party shall agree to the following:</w:t>
      </w:r>
    </w:p>
    <w:p w14:paraId="4E21CB2A" w14:textId="77777777" w:rsidR="0009344D" w:rsidRPr="0009344D" w:rsidRDefault="0009344D" w:rsidP="0009344D">
      <w:pPr>
        <w:pStyle w:val="NoSpacing"/>
        <w:ind w:left="720"/>
        <w:rPr>
          <w:rFonts w:ascii="Arial" w:hAnsi="Arial" w:cs="Arial"/>
          <w:sz w:val="24"/>
          <w:szCs w:val="24"/>
        </w:rPr>
      </w:pPr>
    </w:p>
    <w:p w14:paraId="017BE227" w14:textId="77777777" w:rsidR="0009344D" w:rsidRPr="0009344D" w:rsidRDefault="0009344D" w:rsidP="0009344D">
      <w:pPr>
        <w:pStyle w:val="NoSpacing"/>
        <w:numPr>
          <w:ilvl w:val="1"/>
          <w:numId w:val="1"/>
        </w:numPr>
        <w:rPr>
          <w:rFonts w:ascii="Arial" w:hAnsi="Arial" w:cs="Arial"/>
          <w:sz w:val="24"/>
          <w:szCs w:val="24"/>
        </w:rPr>
      </w:pPr>
      <w:r w:rsidRPr="0009344D">
        <w:rPr>
          <w:rFonts w:ascii="Arial" w:hAnsi="Arial" w:cs="Arial"/>
          <w:sz w:val="24"/>
          <w:szCs w:val="24"/>
        </w:rPr>
        <w:t xml:space="preserve">Black Hawk County will be named as an additional insured, on a primary and non-contributory basis, with respect to all general and automobile insurance policies and each such carrier will provide a waiver or subrogation in favor of Black Hawk County.  </w:t>
      </w:r>
    </w:p>
    <w:p w14:paraId="089FA81F" w14:textId="77777777" w:rsidR="0009344D" w:rsidRPr="0009344D" w:rsidRDefault="0009344D" w:rsidP="0009344D">
      <w:pPr>
        <w:pStyle w:val="NoSpacing"/>
        <w:ind w:left="1440"/>
        <w:rPr>
          <w:rFonts w:ascii="Arial" w:hAnsi="Arial" w:cs="Arial"/>
          <w:sz w:val="24"/>
          <w:szCs w:val="24"/>
        </w:rPr>
      </w:pPr>
    </w:p>
    <w:p w14:paraId="70015858" w14:textId="77777777" w:rsidR="0009344D" w:rsidRPr="0009344D" w:rsidRDefault="0009344D" w:rsidP="0009344D">
      <w:pPr>
        <w:pStyle w:val="NoSpacing"/>
        <w:numPr>
          <w:ilvl w:val="1"/>
          <w:numId w:val="1"/>
        </w:numPr>
        <w:rPr>
          <w:rFonts w:ascii="Arial" w:hAnsi="Arial" w:cs="Arial"/>
          <w:sz w:val="24"/>
          <w:szCs w:val="24"/>
        </w:rPr>
      </w:pPr>
      <w:r w:rsidRPr="0009344D">
        <w:rPr>
          <w:rFonts w:ascii="Arial" w:hAnsi="Arial" w:cs="Arial"/>
          <w:sz w:val="24"/>
          <w:szCs w:val="24"/>
        </w:rPr>
        <w:lastRenderedPageBreak/>
        <w:t>Should the project require electronic communications, storage, records, or record-keeping (including, but not limited to, email, web-based interface usage, electronically stored records or designs, or other electronic or online communications), Black Hawk County will require a Cyber Liability Insurance Policy with limits not less than One Million Dollars ($1,000,000) per occurrence and Black Hawk County will be listed as additional insured.</w:t>
      </w:r>
    </w:p>
    <w:p w14:paraId="7EA71E51" w14:textId="77777777" w:rsidR="0009344D" w:rsidRPr="0009344D" w:rsidRDefault="0009344D" w:rsidP="0009344D">
      <w:pPr>
        <w:pStyle w:val="NoSpacing"/>
        <w:ind w:left="1440"/>
        <w:rPr>
          <w:rFonts w:ascii="Arial" w:hAnsi="Arial" w:cs="Arial"/>
          <w:sz w:val="24"/>
          <w:szCs w:val="24"/>
        </w:rPr>
      </w:pPr>
    </w:p>
    <w:p w14:paraId="6C42F2B3" w14:textId="77777777" w:rsidR="0009344D" w:rsidRPr="0009344D" w:rsidRDefault="0009344D" w:rsidP="0009344D">
      <w:pPr>
        <w:pStyle w:val="NoSpacing"/>
        <w:numPr>
          <w:ilvl w:val="1"/>
          <w:numId w:val="1"/>
        </w:numPr>
        <w:rPr>
          <w:rFonts w:ascii="Arial" w:hAnsi="Arial" w:cs="Arial"/>
          <w:sz w:val="24"/>
          <w:szCs w:val="24"/>
        </w:rPr>
      </w:pPr>
      <w:r w:rsidRPr="0009344D">
        <w:rPr>
          <w:rFonts w:ascii="Arial" w:hAnsi="Arial" w:cs="Arial"/>
          <w:sz w:val="24"/>
          <w:szCs w:val="24"/>
        </w:rPr>
        <w:t>Should the project require removal, cleanup, installation, or other disturbance of hazardous substances, Black Hawk County will require an Environmental/Pollution Insurance Policy with limits not less than One Million Dollars ($1,000,000) per occurrence and Black Hawk County will be listed as additional insured.</w:t>
      </w:r>
    </w:p>
    <w:p w14:paraId="5F659ECF" w14:textId="77777777" w:rsidR="0009344D" w:rsidRPr="0009344D" w:rsidRDefault="0009344D" w:rsidP="0009344D">
      <w:pPr>
        <w:pStyle w:val="NoSpacing"/>
        <w:ind w:left="1440"/>
        <w:rPr>
          <w:rFonts w:ascii="Arial" w:hAnsi="Arial" w:cs="Arial"/>
          <w:sz w:val="24"/>
          <w:szCs w:val="24"/>
        </w:rPr>
      </w:pPr>
    </w:p>
    <w:p w14:paraId="588A46AF" w14:textId="77777777" w:rsidR="0009344D" w:rsidRPr="0009344D" w:rsidRDefault="0009344D" w:rsidP="0009344D">
      <w:pPr>
        <w:pStyle w:val="NoSpacing"/>
        <w:numPr>
          <w:ilvl w:val="1"/>
          <w:numId w:val="1"/>
        </w:numPr>
        <w:rPr>
          <w:rFonts w:ascii="Arial" w:hAnsi="Arial" w:cs="Arial"/>
          <w:sz w:val="24"/>
          <w:szCs w:val="24"/>
        </w:rPr>
      </w:pPr>
      <w:r w:rsidRPr="0009344D">
        <w:rPr>
          <w:rFonts w:ascii="Arial" w:hAnsi="Arial" w:cs="Arial"/>
          <w:sz w:val="24"/>
          <w:szCs w:val="24"/>
        </w:rPr>
        <w:t>Certificate of insurance will be submitted to the Board of Supervisors’ Office prior to commencement of the contract/agreement and shall include the thirty-day notice of cancellation provision.  If the outside party fails to perform any of its obligations under the County’s Insurance and Policy Requirements, Black Hawk County reserves the right to either purchase the required insurance coverage and assess the cost directly to the outside party, or to declare the outside party’s bid invalid.</w:t>
      </w:r>
    </w:p>
    <w:p w14:paraId="4BC69F76" w14:textId="77777777" w:rsidR="0009344D" w:rsidRPr="0009344D" w:rsidRDefault="0009344D" w:rsidP="0009344D">
      <w:pPr>
        <w:pStyle w:val="NoSpacing"/>
        <w:ind w:left="1440"/>
        <w:rPr>
          <w:rFonts w:ascii="Arial" w:hAnsi="Arial" w:cs="Arial"/>
          <w:sz w:val="24"/>
          <w:szCs w:val="24"/>
        </w:rPr>
      </w:pPr>
    </w:p>
    <w:p w14:paraId="1DE03D53" w14:textId="77777777" w:rsidR="0009344D" w:rsidRPr="0009344D" w:rsidRDefault="0009344D" w:rsidP="0009344D">
      <w:pPr>
        <w:pStyle w:val="NoSpacing"/>
        <w:numPr>
          <w:ilvl w:val="1"/>
          <w:numId w:val="1"/>
        </w:numPr>
        <w:rPr>
          <w:rFonts w:ascii="Arial" w:hAnsi="Arial" w:cs="Arial"/>
          <w:sz w:val="24"/>
          <w:szCs w:val="24"/>
        </w:rPr>
      </w:pPr>
      <w:r w:rsidRPr="0009344D">
        <w:rPr>
          <w:rFonts w:ascii="Arial" w:hAnsi="Arial" w:cs="Arial"/>
          <w:sz w:val="24"/>
          <w:szCs w:val="24"/>
        </w:rPr>
        <w:t>Hold Harmless Agreement – The outside party shall indemnify and hold harmless Black Hawk County, its agents, and employees from and against all claims, damages, losses, and expenses including attorneys’ fees arising out of or resulting from the performance of work, provided that any such claim, damage, loss or expense:</w:t>
      </w:r>
    </w:p>
    <w:p w14:paraId="3E9D4942" w14:textId="77777777" w:rsidR="0009344D" w:rsidRPr="0009344D" w:rsidRDefault="0009344D" w:rsidP="0009344D">
      <w:pPr>
        <w:pStyle w:val="NoSpacing"/>
        <w:ind w:left="1440"/>
        <w:rPr>
          <w:rFonts w:ascii="Arial" w:hAnsi="Arial" w:cs="Arial"/>
          <w:sz w:val="24"/>
          <w:szCs w:val="24"/>
        </w:rPr>
      </w:pPr>
    </w:p>
    <w:p w14:paraId="331033FB" w14:textId="77777777" w:rsidR="0009344D" w:rsidRPr="0009344D" w:rsidRDefault="0009344D" w:rsidP="0009344D">
      <w:pPr>
        <w:pStyle w:val="NoSpacing"/>
        <w:numPr>
          <w:ilvl w:val="2"/>
          <w:numId w:val="1"/>
        </w:numPr>
        <w:rPr>
          <w:rFonts w:ascii="Arial" w:hAnsi="Arial" w:cs="Arial"/>
          <w:sz w:val="24"/>
          <w:szCs w:val="24"/>
        </w:rPr>
      </w:pPr>
      <w:r w:rsidRPr="0009344D">
        <w:rPr>
          <w:rFonts w:ascii="Arial" w:hAnsi="Arial" w:cs="Arial"/>
          <w:sz w:val="24"/>
          <w:szCs w:val="24"/>
        </w:rPr>
        <w:t>is attributable to bodily injury, sickness, disease or death, or to the damage to or destruction of tangible property (other than the work itself) including the loss of use resulting therefrom, and</w:t>
      </w:r>
    </w:p>
    <w:p w14:paraId="0FA6F735" w14:textId="77777777" w:rsidR="0009344D" w:rsidRPr="0009344D" w:rsidRDefault="0009344D" w:rsidP="0009344D">
      <w:pPr>
        <w:pStyle w:val="NoSpacing"/>
        <w:ind w:left="2160"/>
        <w:rPr>
          <w:rFonts w:ascii="Arial" w:hAnsi="Arial" w:cs="Arial"/>
          <w:sz w:val="24"/>
          <w:szCs w:val="24"/>
        </w:rPr>
      </w:pPr>
    </w:p>
    <w:p w14:paraId="136669A0" w14:textId="77777777" w:rsidR="0009344D" w:rsidRPr="0009344D" w:rsidRDefault="0009344D" w:rsidP="0009344D">
      <w:pPr>
        <w:pStyle w:val="NoSpacing"/>
        <w:numPr>
          <w:ilvl w:val="2"/>
          <w:numId w:val="1"/>
        </w:numPr>
        <w:rPr>
          <w:rFonts w:ascii="Arial" w:hAnsi="Arial" w:cs="Arial"/>
          <w:sz w:val="24"/>
          <w:szCs w:val="24"/>
        </w:rPr>
      </w:pPr>
      <w:r w:rsidRPr="0009344D">
        <w:rPr>
          <w:rFonts w:ascii="Arial" w:hAnsi="Arial" w:cs="Arial"/>
          <w:sz w:val="24"/>
          <w:szCs w:val="24"/>
        </w:rPr>
        <w:t xml:space="preserve">is caused in whole or in party by any negligent act or omission of the outside party or its subcontractor, anyone directly or indirectly employed by any of them or anyone for whose acts any of them may be liable regardless of </w:t>
      </w:r>
      <w:proofErr w:type="gramStart"/>
      <w:r w:rsidRPr="0009344D">
        <w:rPr>
          <w:rFonts w:ascii="Arial" w:hAnsi="Arial" w:cs="Arial"/>
          <w:sz w:val="24"/>
          <w:szCs w:val="24"/>
        </w:rPr>
        <w:t>whether or not</w:t>
      </w:r>
      <w:proofErr w:type="gramEnd"/>
      <w:r w:rsidRPr="0009344D">
        <w:rPr>
          <w:rFonts w:ascii="Arial" w:hAnsi="Arial" w:cs="Arial"/>
          <w:sz w:val="24"/>
          <w:szCs w:val="24"/>
        </w:rPr>
        <w:t xml:space="preserve"> it is caused in party by a party indemnified hereunder.</w:t>
      </w:r>
    </w:p>
    <w:p w14:paraId="5AEEC988" w14:textId="77777777" w:rsidR="0009344D" w:rsidRPr="0009344D" w:rsidRDefault="0009344D" w:rsidP="0009344D">
      <w:pPr>
        <w:pStyle w:val="NoSpacing"/>
        <w:rPr>
          <w:rFonts w:ascii="Arial" w:hAnsi="Arial" w:cs="Arial"/>
          <w:sz w:val="24"/>
          <w:szCs w:val="24"/>
        </w:rPr>
      </w:pPr>
    </w:p>
    <w:p w14:paraId="15B65F45" w14:textId="77777777" w:rsidR="0009344D" w:rsidRPr="0009344D" w:rsidRDefault="0009344D" w:rsidP="0009344D">
      <w:pPr>
        <w:pStyle w:val="NoSpacing"/>
        <w:rPr>
          <w:rFonts w:ascii="Arial" w:hAnsi="Arial" w:cs="Arial"/>
          <w:sz w:val="24"/>
          <w:szCs w:val="24"/>
        </w:rPr>
      </w:pPr>
      <w:r w:rsidRPr="0009344D">
        <w:rPr>
          <w:rFonts w:ascii="Arial" w:hAnsi="Arial" w:cs="Arial"/>
          <w:sz w:val="24"/>
          <w:szCs w:val="24"/>
        </w:rPr>
        <w:t>For questions regarding Certificates of Insurance, contact the Board of Supervisors’ Office at 319-833-3072.</w:t>
      </w:r>
    </w:p>
    <w:p w14:paraId="10718D05" w14:textId="77777777" w:rsidR="0009344D" w:rsidRDefault="0009344D"/>
    <w:sectPr w:rsidR="000934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732D9"/>
    <w:multiLevelType w:val="hybridMultilevel"/>
    <w:tmpl w:val="8BCA2780"/>
    <w:lvl w:ilvl="0" w:tplc="77CEA4D2">
      <w:start w:val="1"/>
      <w:numFmt w:val="upperLetter"/>
      <w:lvlText w:val="%1."/>
      <w:lvlJc w:val="left"/>
      <w:pPr>
        <w:ind w:left="720" w:hanging="360"/>
      </w:pPr>
      <w:rPr>
        <w:rFonts w:hint="default"/>
        <w:color w:val="auto"/>
      </w:rPr>
    </w:lvl>
    <w:lvl w:ilvl="1" w:tplc="0409000F">
      <w:start w:val="1"/>
      <w:numFmt w:val="decimal"/>
      <w:lvlText w:val="%2."/>
      <w:lvlJc w:val="left"/>
      <w:pPr>
        <w:ind w:left="1440" w:hanging="360"/>
      </w:pPr>
    </w:lvl>
    <w:lvl w:ilvl="2" w:tplc="14485F1C">
      <w:start w:val="1"/>
      <w:numFmt w:val="lowerLetter"/>
      <w:lvlText w:val="%3."/>
      <w:lvlJc w:val="left"/>
      <w:pPr>
        <w:ind w:left="2160" w:hanging="180"/>
      </w:pPr>
      <w:rPr>
        <w:rFonts w:ascii="Times New Roman" w:eastAsia="Times New Roman" w:hAnsi="Times New Roman" w:hint="default"/>
        <w:color w:val="231F2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2607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344D"/>
    <w:rsid w:val="0009344D"/>
    <w:rsid w:val="0025274C"/>
    <w:rsid w:val="003348A1"/>
    <w:rsid w:val="00446830"/>
    <w:rsid w:val="0045095C"/>
    <w:rsid w:val="0082305E"/>
    <w:rsid w:val="00944292"/>
    <w:rsid w:val="00B32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468C6"/>
  <w15:docId w15:val="{64882912-DB7D-4CA9-888B-6D31485DD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34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659</Words>
  <Characters>3761</Characters>
  <Application>Microsoft Office Word</Application>
  <DocSecurity>0</DocSecurity>
  <Lines>31</Lines>
  <Paragraphs>8</Paragraphs>
  <ScaleCrop>false</ScaleCrop>
  <Company>Microsoft</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Laidig</dc:creator>
  <cp:lastModifiedBy>Kaitlin Emrich</cp:lastModifiedBy>
  <cp:revision>7</cp:revision>
  <dcterms:created xsi:type="dcterms:W3CDTF">2019-08-13T20:55:00Z</dcterms:created>
  <dcterms:modified xsi:type="dcterms:W3CDTF">2025-08-08T17:23:00Z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II/PHI">
    <vt:lpwstr>true</vt:lpwstr>
  </property>
</Properties>
</file>